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409" w:rsidRDefault="00987409">
      <w:pPr>
        <w:jc w:val="center"/>
        <w:rPr>
          <w:rFonts w:ascii="方正小标宋_GBK" w:eastAsia="方正小标宋_GBK" w:hAnsi="方正小标宋_GBK" w:cs="方正小标宋_GBK" w:hint="eastAsia"/>
          <w:sz w:val="44"/>
          <w:szCs w:val="52"/>
        </w:rPr>
      </w:pPr>
    </w:p>
    <w:p w:rsidR="004E6EC8" w:rsidRDefault="00267EDD">
      <w:pPr>
        <w:jc w:val="center"/>
        <w:rPr>
          <w:rFonts w:ascii="方正小标宋_GBK" w:eastAsia="方正小标宋_GBK" w:hAnsi="方正小标宋_GBK" w:cs="方正小标宋_GBK"/>
          <w:sz w:val="44"/>
          <w:szCs w:val="52"/>
        </w:rPr>
      </w:pPr>
      <w:r>
        <w:rPr>
          <w:rFonts w:ascii="方正小标宋_GBK" w:eastAsia="方正小标宋_GBK" w:hAnsi="方正小标宋_GBK" w:cs="方正小标宋_GBK" w:hint="eastAsia"/>
          <w:sz w:val="44"/>
          <w:szCs w:val="52"/>
        </w:rPr>
        <w:t>最高人民检察院检察理论研究课题管理办法</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2004</w:t>
      </w:r>
      <w:r>
        <w:rPr>
          <w:rFonts w:ascii="Times New Roman Regular" w:eastAsia="仿宋_GB2312" w:hAnsi="Times New Roman Regular" w:cs="Times New Roman Regular"/>
          <w:sz w:val="32"/>
          <w:szCs w:val="40"/>
        </w:rPr>
        <w:t>年制定，</w:t>
      </w:r>
      <w:r>
        <w:rPr>
          <w:rFonts w:ascii="Times New Roman Regular" w:eastAsia="仿宋_GB2312" w:hAnsi="Times New Roman Regular" w:cs="Times New Roman Regular"/>
          <w:sz w:val="32"/>
          <w:szCs w:val="40"/>
        </w:rPr>
        <w:t>2005</w:t>
      </w:r>
      <w:r>
        <w:rPr>
          <w:rFonts w:ascii="Times New Roman Regular" w:eastAsia="仿宋_GB2312" w:hAnsi="Times New Roman Regular" w:cs="Times New Roman Regular"/>
          <w:sz w:val="32"/>
          <w:szCs w:val="40"/>
        </w:rPr>
        <w:t>年第一次修订，</w:t>
      </w:r>
      <w:r>
        <w:rPr>
          <w:rFonts w:ascii="Times New Roman Regular" w:eastAsia="仿宋_GB2312" w:hAnsi="Times New Roman Regular" w:cs="Times New Roman Regular"/>
          <w:sz w:val="32"/>
          <w:szCs w:val="40"/>
        </w:rPr>
        <w:t>2010</w:t>
      </w:r>
      <w:r>
        <w:rPr>
          <w:rFonts w:ascii="Times New Roman Regular" w:eastAsia="仿宋_GB2312" w:hAnsi="Times New Roman Regular" w:cs="Times New Roman Regular"/>
          <w:sz w:val="32"/>
          <w:szCs w:val="40"/>
        </w:rPr>
        <w:t>年第二次修订，</w:t>
      </w:r>
      <w:r>
        <w:rPr>
          <w:rFonts w:ascii="Times New Roman Regular" w:eastAsia="仿宋_GB2312" w:hAnsi="Times New Roman Regular" w:cs="Times New Roman Regular"/>
          <w:sz w:val="32"/>
          <w:szCs w:val="40"/>
        </w:rPr>
        <w:t>2019</w:t>
      </w:r>
      <w:r>
        <w:rPr>
          <w:rFonts w:ascii="Times New Roman Regular" w:eastAsia="仿宋_GB2312" w:hAnsi="Times New Roman Regular" w:cs="Times New Roman Regular"/>
          <w:sz w:val="32"/>
          <w:szCs w:val="40"/>
        </w:rPr>
        <w:t>年第三次修订）</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jc w:val="center"/>
        <w:rPr>
          <w:rFonts w:ascii="黑体" w:eastAsia="黑体" w:hAnsi="黑体" w:cs="黑体"/>
          <w:sz w:val="32"/>
          <w:szCs w:val="40"/>
        </w:rPr>
      </w:pPr>
      <w:r>
        <w:rPr>
          <w:rFonts w:ascii="黑体" w:eastAsia="黑体" w:hAnsi="黑体" w:cs="黑体" w:hint="eastAsia"/>
          <w:sz w:val="32"/>
          <w:szCs w:val="40"/>
        </w:rPr>
        <w:t>第一章 总则</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第一条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为规范最高人民检察院检察理论研究课题（以下简称</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课题</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的管理，充分发挥课题制对检察理论研究的引导和推动作用，根据《最高人民检察院关于加强检察理论研究的决定》《最高人民检察院关于加强检察理论研究的工作方案》和《最高人民检察院关于进一步加强检察理论研究的意见》，结合实行课题制的实际情况，制定本办法。</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第二条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课题的选题、组织实施和验收，坚持以习近平新时代中国特色社会主义思想为指导，坚持理论联系实际，鼓励理论创新，着力研究检察工作重大理论和实践问题，为检察工作、检察改革和检察决策提供理论支持。</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第三条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w:t>
      </w:r>
      <w:r>
        <w:rPr>
          <w:rFonts w:ascii="Times New Roman Regular" w:eastAsia="仿宋_GB2312" w:hAnsi="Times New Roman Regular" w:cs="Times New Roman Regular"/>
          <w:sz w:val="32"/>
          <w:szCs w:val="40"/>
        </w:rPr>
        <w:t>每年面向全国发布，分为重大课题、重点课题、</w:t>
      </w:r>
      <w:proofErr w:type="gramStart"/>
      <w:r>
        <w:rPr>
          <w:rFonts w:ascii="Times New Roman Regular" w:eastAsia="仿宋_GB2312" w:hAnsi="Times New Roman Regular" w:cs="Times New Roman Regular"/>
          <w:sz w:val="32"/>
          <w:szCs w:val="40"/>
        </w:rPr>
        <w:t>一般课题</w:t>
      </w:r>
      <w:proofErr w:type="gramEnd"/>
      <w:r>
        <w:rPr>
          <w:rFonts w:ascii="Times New Roman Regular" w:eastAsia="仿宋_GB2312" w:hAnsi="Times New Roman Regular" w:cs="Times New Roman Regular"/>
          <w:sz w:val="32"/>
          <w:szCs w:val="40"/>
        </w:rPr>
        <w:t>和自筹经费课题。</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课题实行公开竞争，坚持公平、公正原则，择优立项。</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第四条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最高人民检察院检察理论研究领导小组（以下简称</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领导小组</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）领导和管理最高人民检察院检察理论研究课题。</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课题管理的日常工作由最高人民检察院检察理论研究所（以下简称</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理论所</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）具体负责，其职责如下：</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（一）拟定课题管理的相关规章制度；</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（二）拟定课题中长期规划及年度课题选题方向；</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（三）办理课题的申报、评审、检查及成果验收，编辑出版课题研究成果，协调解决课题成果的推广和应用；</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（四）组织和协调与课题相关的学术交流活动；</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（五）其他相关事宜。</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领导小组负责指导和审查理论所的课题管理工作，包括选题的拟定、课题的立项、经费的分配、结题的审查等。</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jc w:val="center"/>
        <w:rPr>
          <w:rFonts w:ascii="黑体" w:eastAsia="黑体" w:hAnsi="黑体" w:cs="黑体"/>
          <w:sz w:val="32"/>
          <w:szCs w:val="40"/>
        </w:rPr>
      </w:pPr>
      <w:r>
        <w:rPr>
          <w:rFonts w:ascii="黑体" w:eastAsia="黑体" w:hAnsi="黑体" w:cs="黑体"/>
          <w:sz w:val="32"/>
          <w:szCs w:val="40"/>
        </w:rPr>
        <w:t>第二章</w:t>
      </w:r>
      <w:r>
        <w:rPr>
          <w:rFonts w:ascii="黑体" w:eastAsia="黑体" w:hAnsi="黑体" w:cs="黑体"/>
          <w:sz w:val="32"/>
          <w:szCs w:val="40"/>
        </w:rPr>
        <w:t> </w:t>
      </w:r>
      <w:r>
        <w:rPr>
          <w:rFonts w:ascii="黑体" w:eastAsia="黑体" w:hAnsi="黑体" w:cs="黑体"/>
          <w:sz w:val="32"/>
          <w:szCs w:val="40"/>
        </w:rPr>
        <w:t>课题申请、受理与审批</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第五条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理论所在向检察实务界和法学界征求意见后提出课题选题建议，经领导小组审批，向社会发布课题申报公告。</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第六条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课题申报条件：</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（一）课题申请人须具有良好的政治素养和独立开展及组织研究工作的能力，能作为课题负责人承担实质性研究工作；</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（二）重大课题负责人须具有正高级职称或厅级以上行政职务；其他课</w:t>
      </w:r>
      <w:r>
        <w:rPr>
          <w:rFonts w:ascii="Times New Roman Regular" w:eastAsia="仿宋_GB2312" w:hAnsi="Times New Roman Regular" w:cs="Times New Roman Regular"/>
          <w:sz w:val="32"/>
          <w:szCs w:val="40"/>
        </w:rPr>
        <w:t>题负责人须具有中级以上职称或法律相关职业经历或法学博士学位；</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（三）申请人可以单独申报，也可以组成课题组联合申报；</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（四）课题申请须经申请人所在单位同意，申请人所在单位承诺为课题研究提供必要的条件、负责经费的管理；</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（五）申请课题的题目原则上</w:t>
      </w:r>
      <w:proofErr w:type="gramStart"/>
      <w:r>
        <w:rPr>
          <w:rFonts w:ascii="Times New Roman Regular" w:eastAsia="仿宋_GB2312" w:hAnsi="Times New Roman Regular" w:cs="Times New Roman Regular"/>
          <w:sz w:val="32"/>
          <w:szCs w:val="40"/>
        </w:rPr>
        <w:t>须属于</w:t>
      </w:r>
      <w:proofErr w:type="gramEnd"/>
      <w:r>
        <w:rPr>
          <w:rFonts w:ascii="Times New Roman Regular" w:eastAsia="仿宋_GB2312" w:hAnsi="Times New Roman Regular" w:cs="Times New Roman Regular"/>
          <w:sz w:val="32"/>
          <w:szCs w:val="40"/>
        </w:rPr>
        <w:t>公布的选题范围，也可以有一定比例的自选题目；</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lastRenderedPageBreak/>
        <w:t>（六）承担课题未结项的，不得再次申请；</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（七）承担过或正在承担国家社科基金、最高人民检察院检察应用理论研究课题、国家检察官学院年度科研基金资助项目和最高人民法院、司法部、教育部、中国法学会等相近内容课题的，不得申请。</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第七条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课题申请人提出申请时，须填写并提交《最高人民检察院检察理论研究课题立项申请书》，加盖单位公章，同时提交电子版申请书。</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第八条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课题评审的基本标准：</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（一）课题组具有完成该课题的能力，有一定的研究基础和研究条件；</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（二）课题研究方向正确，论证充分，研究重点明确、思路清晰、方法可行；</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（三）研究具有前瞻性，能够产生具有创新性、实效性或应用性的研究成果，对实践具有指导和参考价值。</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第九条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理论所对申报材料进行审查，提出初步意见，报经领导小组研究决定后，向社会发布立项公告，并书面通知课题承担人。</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jc w:val="center"/>
        <w:rPr>
          <w:rFonts w:ascii="黑体" w:eastAsia="黑体" w:hAnsi="黑体" w:cs="黑体"/>
          <w:sz w:val="32"/>
          <w:szCs w:val="40"/>
        </w:rPr>
      </w:pPr>
      <w:r>
        <w:rPr>
          <w:rFonts w:ascii="黑体" w:eastAsia="黑体" w:hAnsi="黑体" w:cs="黑体" w:hint="eastAsia"/>
          <w:sz w:val="32"/>
          <w:szCs w:val="40"/>
        </w:rPr>
        <w:t>第三章 课题中期检查</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第十条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课题中期检查的目的是指导和督促各课题组的研究工作，保证课题研究工作实现课题设置的预期目标。</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第十一条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课题中期检查应当采取以下方式之一：</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（一）各课题组组织课题研究中期成果的论证座谈会，可以</w:t>
      </w:r>
      <w:r>
        <w:rPr>
          <w:rFonts w:ascii="Times New Roman Regular" w:eastAsia="仿宋_GB2312" w:hAnsi="Times New Roman Regular" w:cs="Times New Roman Regular"/>
          <w:sz w:val="32"/>
          <w:szCs w:val="40"/>
        </w:rPr>
        <w:lastRenderedPageBreak/>
        <w:t>邀请理论所派员参加；</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（二）理论所召开中期推进会，通知课题组负责人汇</w:t>
      </w:r>
      <w:r>
        <w:rPr>
          <w:rFonts w:ascii="Times New Roman Regular" w:eastAsia="仿宋_GB2312" w:hAnsi="Times New Roman Regular" w:cs="Times New Roman Regular"/>
          <w:sz w:val="32"/>
          <w:szCs w:val="40"/>
        </w:rPr>
        <w:t>报和座谈，组织专家评议、提出改进意见；</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（三）课题组向理论所提交研究中期成果，以书面方式征求意见或建议。</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第十二条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中期检查的时间一般应安排在课题发布后半年内。</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第十三条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课题组不能按时完成研究工作或课题组负责人工作发生变动致使课题研究工作不能正常进行的，理论所可决定中止该课题。</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第十四条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理论所选派重点课题组代表在全国检察理论研究年会上汇报研究进度及主要成果。</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jc w:val="center"/>
        <w:rPr>
          <w:rFonts w:ascii="黑体" w:eastAsia="黑体" w:hAnsi="黑体" w:cs="黑体"/>
          <w:sz w:val="32"/>
          <w:szCs w:val="40"/>
        </w:rPr>
      </w:pPr>
      <w:r>
        <w:rPr>
          <w:rFonts w:ascii="黑体" w:eastAsia="黑体" w:hAnsi="黑体" w:cs="黑体"/>
          <w:sz w:val="32"/>
          <w:szCs w:val="40"/>
        </w:rPr>
        <w:t>第四章</w:t>
      </w:r>
      <w:r>
        <w:rPr>
          <w:rFonts w:ascii="黑体" w:eastAsia="黑体" w:hAnsi="黑体" w:cs="黑体"/>
          <w:sz w:val="32"/>
          <w:szCs w:val="40"/>
        </w:rPr>
        <w:t> </w:t>
      </w:r>
      <w:proofErr w:type="gramStart"/>
      <w:r>
        <w:rPr>
          <w:rFonts w:ascii="黑体" w:eastAsia="黑体" w:hAnsi="黑体" w:cs="黑体"/>
          <w:sz w:val="32"/>
          <w:szCs w:val="40"/>
        </w:rPr>
        <w:t>课题结项及</w:t>
      </w:r>
      <w:proofErr w:type="gramEnd"/>
      <w:r>
        <w:rPr>
          <w:rFonts w:ascii="黑体" w:eastAsia="黑体" w:hAnsi="黑体" w:cs="黑体"/>
          <w:sz w:val="32"/>
          <w:szCs w:val="40"/>
        </w:rPr>
        <w:t>成果推广</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第十五条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课题的研究期限从书面通知立项之日起算。重大课题完成期限一般为</w:t>
      </w:r>
      <w:r>
        <w:rPr>
          <w:rFonts w:ascii="Times New Roman Regular" w:eastAsia="仿宋_GB2312" w:hAnsi="Times New Roman Regular" w:cs="Times New Roman Regular"/>
          <w:sz w:val="32"/>
          <w:szCs w:val="40"/>
        </w:rPr>
        <w:t>1</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2</w:t>
      </w:r>
      <w:r>
        <w:rPr>
          <w:rFonts w:ascii="Times New Roman Regular" w:eastAsia="仿宋_GB2312" w:hAnsi="Times New Roman Regular" w:cs="Times New Roman Regular"/>
          <w:sz w:val="32"/>
          <w:szCs w:val="40"/>
        </w:rPr>
        <w:t>年，特殊情况下，可延长</w:t>
      </w:r>
      <w:r>
        <w:rPr>
          <w:rFonts w:ascii="Times New Roman Regular" w:eastAsia="仿宋_GB2312" w:hAnsi="Times New Roman Regular" w:cs="Times New Roman Regular"/>
          <w:sz w:val="32"/>
          <w:szCs w:val="40"/>
        </w:rPr>
        <w:t>1</w:t>
      </w:r>
      <w:r>
        <w:rPr>
          <w:rFonts w:ascii="Times New Roman Regular" w:eastAsia="仿宋_GB2312" w:hAnsi="Times New Roman Regular" w:cs="Times New Roman Regular"/>
          <w:sz w:val="32"/>
          <w:szCs w:val="40"/>
        </w:rPr>
        <w:t>年；其他课题完成期限一般为</w:t>
      </w:r>
      <w:r>
        <w:rPr>
          <w:rFonts w:ascii="Times New Roman Regular" w:eastAsia="仿宋_GB2312" w:hAnsi="Times New Roman Regular" w:cs="Times New Roman Regular"/>
          <w:sz w:val="32"/>
          <w:szCs w:val="40"/>
        </w:rPr>
        <w:t>1</w:t>
      </w:r>
      <w:r>
        <w:rPr>
          <w:rFonts w:ascii="Times New Roman Regular" w:eastAsia="仿宋_GB2312" w:hAnsi="Times New Roman Regular" w:cs="Times New Roman Regular"/>
          <w:sz w:val="32"/>
          <w:szCs w:val="40"/>
        </w:rPr>
        <w:t>年，特殊情况下，可延长半年。</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各课题组应于预定完成期限以前向理论所提交结题申请书、结题报告、课题研究成果（重大课题的著作不少于</w:t>
      </w:r>
      <w:r>
        <w:rPr>
          <w:rFonts w:ascii="Times New Roman Regular" w:eastAsia="仿宋_GB2312" w:hAnsi="Times New Roman Regular" w:cs="Times New Roman Regular"/>
          <w:sz w:val="32"/>
          <w:szCs w:val="40"/>
        </w:rPr>
        <w:t>10</w:t>
      </w:r>
      <w:r>
        <w:rPr>
          <w:rFonts w:ascii="Times New Roman Regular" w:eastAsia="仿宋_GB2312" w:hAnsi="Times New Roman Regular" w:cs="Times New Roman Regular"/>
          <w:sz w:val="32"/>
          <w:szCs w:val="40"/>
        </w:rPr>
        <w:t>万字，重点课题的论文不少于</w:t>
      </w:r>
      <w:r>
        <w:rPr>
          <w:rFonts w:ascii="Times New Roman Regular" w:eastAsia="仿宋_GB2312" w:hAnsi="Times New Roman Regular" w:cs="Times New Roman Regular"/>
          <w:sz w:val="32"/>
          <w:szCs w:val="40"/>
        </w:rPr>
        <w:t>2</w:t>
      </w:r>
      <w:r>
        <w:rPr>
          <w:rFonts w:ascii="Times New Roman Regular" w:eastAsia="仿宋_GB2312" w:hAnsi="Times New Roman Regular" w:cs="Times New Roman Regular"/>
          <w:sz w:val="32"/>
          <w:szCs w:val="40"/>
        </w:rPr>
        <w:t>万字，</w:t>
      </w:r>
      <w:proofErr w:type="gramStart"/>
      <w:r>
        <w:rPr>
          <w:rFonts w:ascii="Times New Roman Regular" w:eastAsia="仿宋_GB2312" w:hAnsi="Times New Roman Regular" w:cs="Times New Roman Regular"/>
          <w:sz w:val="32"/>
          <w:szCs w:val="40"/>
        </w:rPr>
        <w:t>一般课题</w:t>
      </w:r>
      <w:proofErr w:type="gramEnd"/>
      <w:r>
        <w:rPr>
          <w:rFonts w:ascii="Times New Roman Regular" w:eastAsia="仿宋_GB2312" w:hAnsi="Times New Roman Regular" w:cs="Times New Roman Regular"/>
          <w:sz w:val="32"/>
          <w:szCs w:val="40"/>
        </w:rPr>
        <w:t>的论文或调研报告不少于</w:t>
      </w:r>
      <w:r>
        <w:rPr>
          <w:rFonts w:ascii="Times New Roman Regular" w:eastAsia="仿宋_GB2312" w:hAnsi="Times New Roman Regular" w:cs="Times New Roman Regular"/>
          <w:sz w:val="32"/>
          <w:szCs w:val="40"/>
        </w:rPr>
        <w:t>1</w:t>
      </w:r>
      <w:r>
        <w:rPr>
          <w:rFonts w:ascii="Times New Roman Regular" w:eastAsia="仿宋_GB2312" w:hAnsi="Times New Roman Regular" w:cs="Times New Roman Regular"/>
          <w:sz w:val="32"/>
          <w:szCs w:val="40"/>
        </w:rPr>
        <w:t>万字）和课题成果要报（</w:t>
      </w:r>
      <w:r>
        <w:rPr>
          <w:rFonts w:ascii="Times New Roman Regular" w:eastAsia="仿宋_GB2312" w:hAnsi="Times New Roman Regular" w:cs="Times New Roman Regular"/>
          <w:sz w:val="32"/>
          <w:szCs w:val="40"/>
        </w:rPr>
        <w:t>2000</w:t>
      </w:r>
      <w:r>
        <w:rPr>
          <w:rFonts w:ascii="Times New Roman Regular" w:eastAsia="仿宋_GB2312" w:hAnsi="Times New Roman Regular" w:cs="Times New Roman Regular"/>
          <w:sz w:val="32"/>
          <w:szCs w:val="40"/>
        </w:rPr>
        <w:t>字左右）。</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第十六条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理论所对各课题组的结题报告进行审查，根据结题报告的具体情况，提出</w:t>
      </w:r>
      <w:proofErr w:type="gramStart"/>
      <w:r>
        <w:rPr>
          <w:rFonts w:ascii="Times New Roman Regular" w:eastAsia="仿宋_GB2312" w:hAnsi="Times New Roman Regular" w:cs="Times New Roman Regular"/>
          <w:sz w:val="32"/>
          <w:szCs w:val="40"/>
        </w:rPr>
        <w:t>准予结项或者</w:t>
      </w:r>
      <w:proofErr w:type="gramEnd"/>
      <w:r>
        <w:rPr>
          <w:rFonts w:ascii="Times New Roman Regular" w:eastAsia="仿宋_GB2312" w:hAnsi="Times New Roman Regular" w:cs="Times New Roman Regular"/>
          <w:sz w:val="32"/>
          <w:szCs w:val="40"/>
        </w:rPr>
        <w:t>修改的意见。</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第十七条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课题验收的基本标准是理论上有创新和较高的</w:t>
      </w:r>
      <w:r>
        <w:rPr>
          <w:rFonts w:ascii="Times New Roman Regular" w:eastAsia="仿宋_GB2312" w:hAnsi="Times New Roman Regular" w:cs="Times New Roman Regular"/>
          <w:sz w:val="32"/>
          <w:szCs w:val="40"/>
        </w:rPr>
        <w:t>学术价值，实践中有指导意义和应用价值，符合学术规范。</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lastRenderedPageBreak/>
        <w:t>重大课题的结题要求是，课题研究报告通过验收，并有专著出版或者有研究成果在权威报刊上发表；</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重点课题的结题要求是，课题研究报告通过验收，并有研究成果在法学知名期刊上发表；</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proofErr w:type="gramStart"/>
      <w:r>
        <w:rPr>
          <w:rFonts w:ascii="Times New Roman Regular" w:eastAsia="仿宋_GB2312" w:hAnsi="Times New Roman Regular" w:cs="Times New Roman Regular"/>
          <w:sz w:val="32"/>
          <w:szCs w:val="40"/>
        </w:rPr>
        <w:t>一般课题</w:t>
      </w:r>
      <w:proofErr w:type="gramEnd"/>
      <w:r>
        <w:rPr>
          <w:rFonts w:ascii="Times New Roman Regular" w:eastAsia="仿宋_GB2312" w:hAnsi="Times New Roman Regular" w:cs="Times New Roman Regular"/>
          <w:sz w:val="32"/>
          <w:szCs w:val="40"/>
        </w:rPr>
        <w:t>的结题要求是，课题研究报告通过验收，并有研究成果在综合知名期刊或</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全国中文核心期刊</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上发表；</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自筹经费课题的结题要求是，课题研究报告通过验收，并有研究成果在公开发行的报刊或论文集上发表。</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上述</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权威报刊</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知名期刊</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的范围，按《检察系统权威、知名报刊名录》（请见附件）</w:t>
      </w:r>
      <w:r>
        <w:rPr>
          <w:rFonts w:ascii="Times New Roman Regular" w:eastAsia="仿宋_GB2312" w:hAnsi="Times New Roman Regular" w:cs="Times New Roman Regular"/>
          <w:sz w:val="32"/>
          <w:szCs w:val="40"/>
        </w:rPr>
        <w:t>的有关规定确定。</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理论所建立课题成果要报制度，积极组织和协调课题成果的推广和应用。每个</w:t>
      </w:r>
      <w:proofErr w:type="gramStart"/>
      <w:r>
        <w:rPr>
          <w:rFonts w:ascii="Times New Roman Regular" w:eastAsia="仿宋_GB2312" w:hAnsi="Times New Roman Regular" w:cs="Times New Roman Regular"/>
          <w:sz w:val="32"/>
          <w:szCs w:val="40"/>
        </w:rPr>
        <w:t>课题结项之前</w:t>
      </w:r>
      <w:proofErr w:type="gramEnd"/>
      <w:r>
        <w:rPr>
          <w:rFonts w:ascii="Times New Roman Regular" w:eastAsia="仿宋_GB2312" w:hAnsi="Times New Roman Regular" w:cs="Times New Roman Regular"/>
          <w:sz w:val="32"/>
          <w:szCs w:val="40"/>
        </w:rPr>
        <w:t>都应当提交一份不少于</w:t>
      </w:r>
      <w:r>
        <w:rPr>
          <w:rFonts w:ascii="Times New Roman Regular" w:eastAsia="仿宋_GB2312" w:hAnsi="Times New Roman Regular" w:cs="Times New Roman Regular"/>
          <w:sz w:val="32"/>
          <w:szCs w:val="40"/>
        </w:rPr>
        <w:t>2000</w:t>
      </w:r>
      <w:r>
        <w:rPr>
          <w:rFonts w:ascii="Times New Roman Regular" w:eastAsia="仿宋_GB2312" w:hAnsi="Times New Roman Regular" w:cs="Times New Roman Regular"/>
          <w:sz w:val="32"/>
          <w:szCs w:val="40"/>
        </w:rPr>
        <w:t>字的成果要报，理论所择优刊载《检察理论参考》（内刊），或者通过其它途径向最高人民检察院领导和相关部门报送参阅。具有决策参考价值的阶段性成果可以随时提交要报。课题成果得到省部级以上党政领导机关采纳的，重点推荐。</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第十八条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课题研究成果达到结题要求的，以最高人民检察院名义给课题组发结题证书。</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第十九条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课题报告未达到结题要求的，课题组应当对课题成果进行修改。对于不能按照修改意见完成修改工作的，根据具体情况，理论所可以</w:t>
      </w:r>
      <w:proofErr w:type="gramStart"/>
      <w:r>
        <w:rPr>
          <w:rFonts w:ascii="Times New Roman Regular" w:eastAsia="仿宋_GB2312" w:hAnsi="Times New Roman Regular" w:cs="Times New Roman Regular"/>
          <w:sz w:val="32"/>
          <w:szCs w:val="40"/>
        </w:rPr>
        <w:t>作出</w:t>
      </w:r>
      <w:proofErr w:type="gramEnd"/>
      <w:r>
        <w:rPr>
          <w:rFonts w:ascii="Times New Roman Regular" w:eastAsia="仿宋_GB2312" w:hAnsi="Times New Roman Regular" w:cs="Times New Roman Regular"/>
          <w:sz w:val="32"/>
          <w:szCs w:val="40"/>
        </w:rPr>
        <w:t>延长一年结题或者结题报告不能通过验收的决定。</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第二十条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理论所择优编辑出版当年结题的课题研究报告。</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第二十一条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课题成果发表或出版时，应注明</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最高人民检察院检察理论研究课题成果</w:t>
      </w:r>
      <w:r>
        <w:rPr>
          <w:rFonts w:ascii="Times New Roman Regular" w:eastAsia="仿宋_GB2312" w:hAnsi="Times New Roman Regular" w:cs="Times New Roman Regular"/>
          <w:sz w:val="32"/>
          <w:szCs w:val="40"/>
        </w:rPr>
        <w:t>”</w:t>
      </w:r>
      <w:r>
        <w:rPr>
          <w:rFonts w:ascii="Times New Roman Regular" w:eastAsia="仿宋_GB2312" w:hAnsi="Times New Roman Regular" w:cs="Times New Roman Regular"/>
          <w:sz w:val="32"/>
          <w:szCs w:val="40"/>
        </w:rPr>
        <w:t>字样。</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jc w:val="center"/>
        <w:rPr>
          <w:rFonts w:ascii="黑体" w:eastAsia="黑体" w:hAnsi="黑体" w:cs="黑体"/>
          <w:sz w:val="32"/>
          <w:szCs w:val="40"/>
        </w:rPr>
      </w:pPr>
      <w:r>
        <w:rPr>
          <w:rFonts w:ascii="黑体" w:eastAsia="黑体" w:hAnsi="黑体" w:cs="黑体"/>
          <w:sz w:val="32"/>
          <w:szCs w:val="40"/>
        </w:rPr>
        <w:t>第五章</w:t>
      </w:r>
      <w:r>
        <w:rPr>
          <w:rFonts w:ascii="黑体" w:eastAsia="黑体" w:hAnsi="黑体" w:cs="黑体"/>
          <w:sz w:val="32"/>
          <w:szCs w:val="40"/>
        </w:rPr>
        <w:t> </w:t>
      </w:r>
      <w:r>
        <w:rPr>
          <w:rFonts w:ascii="黑体" w:eastAsia="黑体" w:hAnsi="黑体" w:cs="黑体"/>
          <w:sz w:val="32"/>
          <w:szCs w:val="40"/>
        </w:rPr>
        <w:t>课题经费管理</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第二十二条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课题经费的筹集、安排和拨付由理论所负责。</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课题经费由最高人民检察院每年从检察理论课题研究、评估及奖励费中拨款。国家企事业单位或社会组织委托研究，课题选题具有较大价</w:t>
      </w:r>
      <w:r>
        <w:rPr>
          <w:rFonts w:ascii="Times New Roman Regular" w:eastAsia="仿宋_GB2312" w:hAnsi="Times New Roman Regular" w:cs="Times New Roman Regular"/>
          <w:sz w:val="32"/>
          <w:szCs w:val="40"/>
        </w:rPr>
        <w:t>值，且提供一定经费支持的，可作为特别委托课题立项。</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第二十三条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各类课题的设置及各个课题的经费数额</w:t>
      </w:r>
      <w:proofErr w:type="gramStart"/>
      <w:r>
        <w:rPr>
          <w:rFonts w:ascii="Times New Roman Regular" w:eastAsia="仿宋_GB2312" w:hAnsi="Times New Roman Regular" w:cs="Times New Roman Regular"/>
          <w:sz w:val="32"/>
          <w:szCs w:val="40"/>
        </w:rPr>
        <w:t>视当年</w:t>
      </w:r>
      <w:proofErr w:type="gramEnd"/>
      <w:r>
        <w:rPr>
          <w:rFonts w:ascii="Times New Roman Regular" w:eastAsia="仿宋_GB2312" w:hAnsi="Times New Roman Regular" w:cs="Times New Roman Regular"/>
          <w:sz w:val="32"/>
          <w:szCs w:val="40"/>
        </w:rPr>
        <w:t>经费筹集情况具体安排。</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重大课题的资助经费为</w:t>
      </w:r>
      <w:r>
        <w:rPr>
          <w:rFonts w:ascii="Times New Roman Regular" w:eastAsia="仿宋_GB2312" w:hAnsi="Times New Roman Regular" w:cs="Times New Roman Regular"/>
          <w:sz w:val="32"/>
          <w:szCs w:val="40"/>
        </w:rPr>
        <w:t>10</w:t>
      </w:r>
      <w:r>
        <w:rPr>
          <w:rFonts w:ascii="Times New Roman Regular" w:eastAsia="仿宋_GB2312" w:hAnsi="Times New Roman Regular" w:cs="Times New Roman Regular"/>
          <w:sz w:val="32"/>
          <w:szCs w:val="40"/>
        </w:rPr>
        <w:t>万元</w:t>
      </w:r>
      <w:r>
        <w:rPr>
          <w:rFonts w:ascii="Times New Roman Regular" w:eastAsia="仿宋_GB2312" w:hAnsi="Times New Roman Regular" w:cs="Times New Roman Regular"/>
          <w:sz w:val="32"/>
          <w:szCs w:val="40"/>
        </w:rPr>
        <w:t>;</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重点课题的资助经费为</w:t>
      </w:r>
      <w:r>
        <w:rPr>
          <w:rFonts w:ascii="Times New Roman Regular" w:eastAsia="仿宋_GB2312" w:hAnsi="Times New Roman Regular" w:cs="Times New Roman Regular"/>
          <w:sz w:val="32"/>
          <w:szCs w:val="40"/>
        </w:rPr>
        <w:t>5</w:t>
      </w:r>
      <w:r>
        <w:rPr>
          <w:rFonts w:ascii="Times New Roman Regular" w:eastAsia="仿宋_GB2312" w:hAnsi="Times New Roman Regular" w:cs="Times New Roman Regular"/>
          <w:sz w:val="32"/>
          <w:szCs w:val="40"/>
        </w:rPr>
        <w:t>万元</w:t>
      </w:r>
      <w:r>
        <w:rPr>
          <w:rFonts w:ascii="Times New Roman Regular" w:eastAsia="仿宋_GB2312" w:hAnsi="Times New Roman Regular" w:cs="Times New Roman Regular"/>
          <w:sz w:val="32"/>
          <w:szCs w:val="40"/>
        </w:rPr>
        <w:t>;</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proofErr w:type="gramStart"/>
      <w:r>
        <w:rPr>
          <w:rFonts w:ascii="Times New Roman Regular" w:eastAsia="仿宋_GB2312" w:hAnsi="Times New Roman Regular" w:cs="Times New Roman Regular"/>
          <w:sz w:val="32"/>
          <w:szCs w:val="40"/>
        </w:rPr>
        <w:t>一般课题</w:t>
      </w:r>
      <w:proofErr w:type="gramEnd"/>
      <w:r>
        <w:rPr>
          <w:rFonts w:ascii="Times New Roman Regular" w:eastAsia="仿宋_GB2312" w:hAnsi="Times New Roman Regular" w:cs="Times New Roman Regular"/>
          <w:sz w:val="32"/>
          <w:szCs w:val="40"/>
        </w:rPr>
        <w:t>的资助经费为</w:t>
      </w:r>
      <w:r>
        <w:rPr>
          <w:rFonts w:ascii="Times New Roman Regular" w:eastAsia="仿宋_GB2312" w:hAnsi="Times New Roman Regular" w:cs="Times New Roman Regular"/>
          <w:sz w:val="32"/>
          <w:szCs w:val="40"/>
        </w:rPr>
        <w:t>2</w:t>
      </w:r>
      <w:r>
        <w:rPr>
          <w:rFonts w:ascii="Times New Roman Regular" w:eastAsia="仿宋_GB2312" w:hAnsi="Times New Roman Regular" w:cs="Times New Roman Regular"/>
          <w:sz w:val="32"/>
          <w:szCs w:val="40"/>
        </w:rPr>
        <w:t>万元。</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提倡课题申报人所在单位给予配套科研资金。</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第二十四条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课题经费一次核定，分期拨付，包干使用，超支不补。</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课题立项后，拨付课题启动经费，即课题经费总额的</w:t>
      </w:r>
      <w:r>
        <w:rPr>
          <w:rFonts w:ascii="Times New Roman Regular" w:eastAsia="仿宋_GB2312" w:hAnsi="Times New Roman Regular" w:cs="Times New Roman Regular"/>
          <w:sz w:val="32"/>
          <w:szCs w:val="40"/>
        </w:rPr>
        <w:t>50</w:t>
      </w:r>
      <w:r>
        <w:rPr>
          <w:rFonts w:ascii="Times New Roman Regular" w:eastAsia="仿宋_GB2312" w:hAnsi="Times New Roman Regular" w:cs="Times New Roman Regular"/>
          <w:sz w:val="32"/>
          <w:szCs w:val="40"/>
        </w:rPr>
        <w:t>％；</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课题经验收合格</w:t>
      </w:r>
      <w:proofErr w:type="gramStart"/>
      <w:r>
        <w:rPr>
          <w:rFonts w:ascii="Times New Roman Regular" w:eastAsia="仿宋_GB2312" w:hAnsi="Times New Roman Regular" w:cs="Times New Roman Regular"/>
          <w:sz w:val="32"/>
          <w:szCs w:val="40"/>
        </w:rPr>
        <w:t>准予结项的</w:t>
      </w:r>
      <w:proofErr w:type="gramEnd"/>
      <w:r>
        <w:rPr>
          <w:rFonts w:ascii="Times New Roman Regular" w:eastAsia="仿宋_GB2312" w:hAnsi="Times New Roman Regular" w:cs="Times New Roman Regular"/>
          <w:sz w:val="32"/>
          <w:szCs w:val="40"/>
        </w:rPr>
        <w:t>，拨付剩余经费，即课题经费总额的</w:t>
      </w:r>
      <w:r>
        <w:rPr>
          <w:rFonts w:ascii="Times New Roman Regular" w:eastAsia="仿宋_GB2312" w:hAnsi="Times New Roman Regular" w:cs="Times New Roman Regular"/>
          <w:sz w:val="32"/>
          <w:szCs w:val="40"/>
        </w:rPr>
        <w:t>50</w:t>
      </w:r>
      <w:r>
        <w:rPr>
          <w:rFonts w:ascii="Times New Roman Regular" w:eastAsia="仿宋_GB2312" w:hAnsi="Times New Roman Regular" w:cs="Times New Roman Regular"/>
          <w:sz w:val="32"/>
          <w:szCs w:val="40"/>
        </w:rPr>
        <w:t>％。</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第二十五条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课题经费的管理和使用，必须符合国家有关财政、财务制度和本办法的规定，同时要有利于促进科研人员开展课题研究工作。</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课题经费要专款专用，课题主持人所在单位和个人不得以任何理由和方式截留、挤占和挪用。</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项目承担者应充分利用本地区、本部门、本单位现有的科研和工作条件，以较少的投入取得较大的研究成效。</w:t>
      </w:r>
    </w:p>
    <w:p w:rsidR="004E6EC8" w:rsidRDefault="004E6EC8">
      <w:pPr>
        <w:snapToGrid w:val="0"/>
        <w:ind w:firstLineChars="200" w:firstLine="640"/>
        <w:rPr>
          <w:rFonts w:ascii="Times New Roman Regular" w:eastAsia="仿宋_GB2312" w:hAnsi="Times New Roman Regular" w:cs="Times New Roman Regular"/>
          <w:sz w:val="32"/>
          <w:szCs w:val="40"/>
        </w:rPr>
      </w:pPr>
    </w:p>
    <w:p w:rsidR="004E6EC8" w:rsidRDefault="00267EDD">
      <w:pPr>
        <w:snapToGrid w:val="0"/>
        <w:ind w:firstLineChars="200" w:firstLine="640"/>
        <w:rPr>
          <w:rFonts w:ascii="Times New Roman Regular" w:eastAsia="仿宋_GB2312" w:hAnsi="Times New Roman Regular" w:cs="Times New Roman Regular"/>
          <w:sz w:val="32"/>
          <w:szCs w:val="40"/>
        </w:rPr>
      </w:pPr>
      <w:r>
        <w:rPr>
          <w:rFonts w:ascii="Times New Roman Regular" w:eastAsia="仿宋_GB2312" w:hAnsi="Times New Roman Regular" w:cs="Times New Roman Regular"/>
          <w:sz w:val="32"/>
          <w:szCs w:val="40"/>
        </w:rPr>
        <w:t>第二十六条</w:t>
      </w:r>
      <w:r>
        <w:rPr>
          <w:rFonts w:ascii="Times New Roman Regular" w:eastAsia="仿宋_GB2312" w:hAnsi="Times New Roman Regular" w:cs="Times New Roman Regular"/>
          <w:sz w:val="32"/>
          <w:szCs w:val="40"/>
        </w:rPr>
        <w:t xml:space="preserve"> </w:t>
      </w:r>
      <w:r>
        <w:rPr>
          <w:rFonts w:ascii="Times New Roman Regular" w:eastAsia="仿宋_GB2312" w:hAnsi="Times New Roman Regular" w:cs="Times New Roman Regular"/>
          <w:sz w:val="32"/>
          <w:szCs w:val="40"/>
        </w:rPr>
        <w:t>本办法由理论所解释，自颁布之日起实行。</w:t>
      </w:r>
    </w:p>
    <w:p w:rsidR="004E6EC8" w:rsidRDefault="004E6EC8" w:rsidP="00F512F7">
      <w:pPr>
        <w:rPr>
          <w:rFonts w:ascii="Times New Roman Regular" w:eastAsia="仿宋_GB2312" w:hAnsi="Times New Roman Regular" w:cs="Times New Roman Regular"/>
          <w:sz w:val="32"/>
          <w:szCs w:val="40"/>
        </w:rPr>
      </w:pPr>
      <w:bookmarkStart w:id="0" w:name="_GoBack"/>
      <w:bookmarkEnd w:id="0"/>
    </w:p>
    <w:sectPr w:rsidR="004E6EC8">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EDD" w:rsidRDefault="00267EDD">
      <w:r>
        <w:separator/>
      </w:r>
    </w:p>
  </w:endnote>
  <w:endnote w:type="continuationSeparator" w:id="0">
    <w:p w:rsidR="00267EDD" w:rsidRDefault="00267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Times New Roman Regular">
    <w:altName w:val="Times New Roman"/>
    <w:charset w:val="00"/>
    <w:family w:val="auto"/>
    <w:pitch w:val="default"/>
    <w:sig w:usb0="E0000AFF"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EDD" w:rsidRDefault="00267EDD">
      <w:r>
        <w:separator/>
      </w:r>
    </w:p>
  </w:footnote>
  <w:footnote w:type="continuationSeparator" w:id="0">
    <w:p w:rsidR="00267EDD" w:rsidRDefault="00267E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BF1A26"/>
    <w:rsid w:val="EFBF1A26"/>
    <w:rsid w:val="00267EDD"/>
    <w:rsid w:val="00425A37"/>
    <w:rsid w:val="004E6EC8"/>
    <w:rsid w:val="00987409"/>
    <w:rsid w:val="00F512F7"/>
    <w:rsid w:val="4FF98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Normal (Web)"/>
    <w:basedOn w:val="a"/>
    <w:pPr>
      <w:spacing w:beforeAutospacing="1" w:afterAutospacing="1"/>
      <w:jc w:val="left"/>
    </w:pPr>
    <w:rPr>
      <w:rFonts w:cs="Times New Roman"/>
      <w:kern w:val="0"/>
      <w:sz w:val="24"/>
    </w:rPr>
  </w:style>
  <w:style w:type="paragraph" w:styleId="a5">
    <w:name w:val="header"/>
    <w:basedOn w:val="a"/>
    <w:link w:val="Char"/>
    <w:rsid w:val="009874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8740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Normal (Web)"/>
    <w:basedOn w:val="a"/>
    <w:pPr>
      <w:spacing w:beforeAutospacing="1" w:afterAutospacing="1"/>
      <w:jc w:val="left"/>
    </w:pPr>
    <w:rPr>
      <w:rFonts w:cs="Times New Roman"/>
      <w:kern w:val="0"/>
      <w:sz w:val="24"/>
    </w:rPr>
  </w:style>
  <w:style w:type="paragraph" w:styleId="a5">
    <w:name w:val="header"/>
    <w:basedOn w:val="a"/>
    <w:link w:val="Char"/>
    <w:rsid w:val="009874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8740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465</Words>
  <Characters>2655</Characters>
  <Application>Microsoft Office Word</Application>
  <DocSecurity>0</DocSecurity>
  <Lines>22</Lines>
  <Paragraphs>6</Paragraphs>
  <ScaleCrop>false</ScaleCrop>
  <Company/>
  <LinksUpToDate>false</LinksUpToDate>
  <CharactersWithSpaces>3114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许慧君</dc:creator>
  <cp:lastModifiedBy>llm</cp:lastModifiedBy>
  <cp:revision>3</cp:revision>
  <dcterms:created xsi:type="dcterms:W3CDTF">2025-03-27T10:10:00Z</dcterms:created>
  <dcterms:modified xsi:type="dcterms:W3CDTF">2025-03-27T10:10:00Z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1130F3617E498EA3B532226670335550_41</vt:lpwstr>
  </property>
</Properties>
</file>